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07FD">
        <w:rPr>
          <w:rFonts w:ascii="Arial" w:hAnsi="Arial" w:cs="Arial"/>
          <w:b/>
          <w:color w:val="auto"/>
          <w:sz w:val="24"/>
          <w:szCs w:val="24"/>
        </w:rPr>
        <w:t xml:space="preserve"> 2022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B50C0" w:rsidRDefault="006907FD" w:rsidP="006907FD">
            <w:pPr>
              <w:spacing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cstheme="minorHAnsi"/>
                <w:b/>
              </w:rPr>
              <w:t xml:space="preserve">Dostęp do bieżącej informacji o jakości usług IAS w oparciu o System   Monitorowania Jakości Internetu (SMJI)”  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907FD" w:rsidRPr="00141A92" w:rsidRDefault="00222D87" w:rsidP="006907F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Minister Cyfryzacji 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6822BC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Urząd Komunikacji Elektronicznej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222D87" w:rsidRDefault="00222D8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 xml:space="preserve">Nie </w:t>
            </w:r>
            <w:r>
              <w:rPr>
                <w:rFonts w:ascii="Arial" w:hAnsi="Arial" w:cs="Arial"/>
                <w:sz w:val="18"/>
                <w:szCs w:val="18"/>
              </w:rPr>
              <w:t>występują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84,63% dofinansowanie UE (II oś PO PC E-administracja i otwarty</w:t>
            </w:r>
          </w:p>
          <w:p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rząd; Działanie 2.1 Wysoka dostępność i jakość usług</w:t>
            </w:r>
          </w:p>
          <w:p w:rsidR="00222D87" w:rsidRPr="00222D87" w:rsidRDefault="00222D87" w:rsidP="00222D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publicznych); 15,37% dofinansowanie z budżetu Państwa - część</w:t>
            </w:r>
          </w:p>
          <w:p w:rsidR="00222D87" w:rsidRPr="00141A92" w:rsidRDefault="00222D87" w:rsidP="00222D87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22D87">
              <w:rPr>
                <w:rFonts w:ascii="Arial" w:hAnsi="Arial" w:cs="Arial"/>
                <w:sz w:val="18"/>
                <w:szCs w:val="18"/>
              </w:rPr>
              <w:t>budżetowa nr 76 (dysponent: Prezes UKE)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>15 762 224,32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 PLN </w:t>
            </w:r>
            <w:r w:rsidRPr="0050316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3169" w:rsidRPr="00141A92" w:rsidRDefault="00503169" w:rsidP="00A263A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03169">
              <w:rPr>
                <w:rFonts w:ascii="Arial" w:hAnsi="Arial" w:cs="Arial"/>
                <w:sz w:val="18"/>
                <w:szCs w:val="18"/>
              </w:rPr>
              <w:t xml:space="preserve">15 762 224,32 </w:t>
            </w:r>
            <w:r w:rsidR="00A263AA">
              <w:rPr>
                <w:rFonts w:ascii="Arial" w:hAnsi="Arial" w:cs="Arial"/>
                <w:sz w:val="18"/>
                <w:szCs w:val="18"/>
              </w:rPr>
              <w:t xml:space="preserve">PLN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263AA" w:rsidRDefault="00A263AA" w:rsidP="0050316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rozpoczęcia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>01.01.2022 r.</w:t>
            </w:r>
          </w:p>
          <w:p w:rsidR="00503169" w:rsidRPr="00503169" w:rsidRDefault="00A263AA" w:rsidP="00A263AA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data zakończenia realizacji projektu: </w:t>
            </w:r>
            <w:r w:rsidR="00503169" w:rsidRPr="00503169">
              <w:rPr>
                <w:rFonts w:ascii="Arial" w:hAnsi="Arial" w:cs="Arial"/>
                <w:sz w:val="18"/>
                <w:szCs w:val="18"/>
              </w:rPr>
              <w:t xml:space="preserve">30.11.2023 r. 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607DA4" w:rsidRPr="00607DA4" w:rsidRDefault="004C1D48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 xml:space="preserve"> </w:t>
      </w:r>
    </w:p>
    <w:p w:rsidR="00607DA4" w:rsidRPr="00607DA4" w:rsidRDefault="00503169" w:rsidP="00607DA4">
      <w:pPr>
        <w:jc w:val="both"/>
        <w:rPr>
          <w:rFonts w:ascii="Arial" w:hAnsi="Arial" w:cs="Arial"/>
          <w:sz w:val="18"/>
          <w:szCs w:val="18"/>
        </w:rPr>
      </w:pPr>
      <w:r w:rsidRPr="00607DA4">
        <w:rPr>
          <w:rFonts w:ascii="Arial" w:hAnsi="Arial" w:cs="Arial"/>
          <w:sz w:val="18"/>
          <w:szCs w:val="18"/>
        </w:rPr>
        <w:t>Zgodnie z dokumentacją aplikacyjną projektu nie identyfikuje się  konieczności zmian aktów prawnych niezbędnych do wdrożenia wyników projektu.</w:t>
      </w:r>
      <w:r w:rsidR="00607DA4" w:rsidRPr="00607DA4">
        <w:rPr>
          <w:rFonts w:ascii="Arial" w:hAnsi="Arial" w:cs="Arial"/>
          <w:sz w:val="18"/>
          <w:szCs w:val="18"/>
        </w:rPr>
        <w:t xml:space="preserve"> Jednocześnie prowadzona jest bieżąca analiza zmian w otoczeniu prawnym w celu identyfikacji</w:t>
      </w:r>
      <w:r w:rsidR="00A263AA">
        <w:rPr>
          <w:rFonts w:ascii="Arial" w:hAnsi="Arial" w:cs="Arial"/>
          <w:sz w:val="18"/>
          <w:szCs w:val="18"/>
        </w:rPr>
        <w:t xml:space="preserve"> ewentualnego </w:t>
      </w:r>
      <w:r w:rsidR="00607DA4" w:rsidRPr="00607DA4">
        <w:rPr>
          <w:rFonts w:ascii="Arial" w:hAnsi="Arial" w:cs="Arial"/>
          <w:sz w:val="18"/>
          <w:szCs w:val="18"/>
        </w:rPr>
        <w:t>ryzyka</w:t>
      </w:r>
      <w:r w:rsidR="00A263AA">
        <w:rPr>
          <w:rFonts w:ascii="Arial" w:hAnsi="Arial" w:cs="Arial"/>
          <w:sz w:val="18"/>
          <w:szCs w:val="18"/>
        </w:rPr>
        <w:t xml:space="preserve"> wpływającego na osiągniecie celu projektu.  </w:t>
      </w:r>
      <w:r w:rsidR="00607DA4" w:rsidRPr="00607DA4">
        <w:rPr>
          <w:rFonts w:ascii="Arial" w:hAnsi="Arial" w:cs="Arial"/>
          <w:sz w:val="18"/>
          <w:szCs w:val="18"/>
        </w:rPr>
        <w:t xml:space="preserve"> 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A263AA">
        <w:trPr>
          <w:trHeight w:val="893"/>
        </w:trPr>
        <w:tc>
          <w:tcPr>
            <w:tcW w:w="2972" w:type="dxa"/>
          </w:tcPr>
          <w:p w:rsidR="00665405" w:rsidRPr="00A263AA" w:rsidRDefault="00665405" w:rsidP="00A263AA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63AA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65405" w:rsidRPr="00A263AA" w:rsidRDefault="00A263AA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2553C6" w:rsidRPr="00A263AA">
              <w:rPr>
                <w:rFonts w:ascii="Arial" w:hAnsi="Arial" w:cs="Arial"/>
                <w:sz w:val="18"/>
                <w:szCs w:val="20"/>
              </w:rPr>
              <w:t xml:space="preserve">0 </w:t>
            </w:r>
            <w:r w:rsidR="00665405" w:rsidRPr="00A263AA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Pr="00A263AA">
              <w:rPr>
                <w:rFonts w:ascii="Arial" w:hAnsi="Arial" w:cs="Arial"/>
                <w:sz w:val="18"/>
                <w:szCs w:val="20"/>
              </w:rPr>
              <w:t>0%</w:t>
            </w:r>
          </w:p>
          <w:p w:rsidR="00A263AA" w:rsidRPr="00A263AA" w:rsidRDefault="00A263AA" w:rsidP="00A263AA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Pr="00A263AA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  <w:p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:rsidR="002553C6" w:rsidRPr="00141A92" w:rsidRDefault="002553C6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553C6">
              <w:rPr>
                <w:rFonts w:ascii="Arial" w:hAnsi="Arial" w:cs="Arial"/>
                <w:sz w:val="18"/>
                <w:szCs w:val="20"/>
              </w:rPr>
              <w:t xml:space="preserve">0% </w:t>
            </w:r>
          </w:p>
        </w:tc>
      </w:tr>
    </w:tbl>
    <w:p w:rsidR="002B50C0" w:rsidRPr="002B50C0" w:rsidRDefault="002B50C0" w:rsidP="00DC122E">
      <w:pPr>
        <w:pStyle w:val="Nagwek3"/>
        <w:keepNext w:val="0"/>
        <w:keepLines w:val="0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DC122E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AD657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53C6" w:rsidRPr="00AD6573" w:rsidTr="00AD6573">
        <w:tc>
          <w:tcPr>
            <w:tcW w:w="2127" w:type="dxa"/>
          </w:tcPr>
          <w:p w:rsidR="002553C6" w:rsidRPr="00AD6573" w:rsidRDefault="002553C6" w:rsidP="002553C6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Rozstrzygnięcie postępowania przetargowego przeprowadzonego przez Zamawiającego na realizację e-usługi, za pomocą SMJI -  podpisanie Umowy z wybranym Wykonawcą.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A263AA" w:rsidP="00A263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:rsidR="002553C6" w:rsidRPr="00AD6573" w:rsidRDefault="00A263AA" w:rsidP="00A263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05-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C46622" w:rsidRPr="00655B62" w:rsidRDefault="00F761FF" w:rsidP="00655B62">
            <w:pPr>
              <w:rPr>
                <w:rFonts w:ascii="Arial" w:hAnsi="Arial" w:cs="Arial"/>
                <w:sz w:val="18"/>
                <w:szCs w:val="18"/>
              </w:rPr>
            </w:pPr>
            <w:r w:rsidRPr="00655B62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C46622" w:rsidRPr="00655B62"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2553C6" w:rsidRPr="00AD6573" w:rsidTr="00AD6573">
        <w:tc>
          <w:tcPr>
            <w:tcW w:w="2127" w:type="dxa"/>
          </w:tcPr>
          <w:p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Zamawiającego Podmiotu Eksperckiego (Audytora) do realizacji kilku Faz obiektywnych testów akceptacyjnych poszczególnych  modułów e-usługi i całości Systemu (tzw. Niezależnej Strony Trzeciej) –  podpisanie Umowy z wybranym Podmiotem.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F761F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09-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2553C6" w:rsidRPr="00AD6573" w:rsidRDefault="00F761FF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:rsidTr="00AD6573">
        <w:tc>
          <w:tcPr>
            <w:tcW w:w="2127" w:type="dxa"/>
          </w:tcPr>
          <w:p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Wybór przez Wykonawcę miejsc instalacji elementów Systemu e-usługi w  rzeczywistych sieciach przedsiębiorców telekomunikacyjnych i w punktach wymiany ruchu międzyoperatorskiego (EXP) – podpisanie  Umów z wybranymi Przedsiębiorcami.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AD6573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>rak</w:t>
            </w:r>
          </w:p>
        </w:tc>
        <w:tc>
          <w:tcPr>
            <w:tcW w:w="1289" w:type="dxa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09-20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:rsidTr="00AD6573">
        <w:tc>
          <w:tcPr>
            <w:tcW w:w="2127" w:type="dxa"/>
          </w:tcPr>
          <w:p w:rsidR="002553C6" w:rsidRPr="00AD6573" w:rsidRDefault="008E3981" w:rsidP="002553C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Realizacja Produktów Systemu e-usługi (sprzętowych i programowych,  dokumentacji technicznej, instrukcji eksploatacji, kodów źródłowych itd.) i  przygotowanie systemu do testów akceptacyjnych przeprowadzanych  przez niezależny Podmiot – protokół przekazania.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8F026F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09-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:rsidTr="00AD6573">
        <w:tc>
          <w:tcPr>
            <w:tcW w:w="2127" w:type="dxa"/>
          </w:tcPr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Systemu e-usługi w modelu laboratoryjnym  </w:t>
            </w:r>
          </w:p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(wszystkie niezbędne komponenty sprzętowe i programowe)  </w:t>
            </w:r>
          </w:p>
          <w:p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przeprowadzenie na tym modelu I Fazy Testów Akceptacyjnych – raport z  testów Fazy 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AD6573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b</w:t>
            </w:r>
            <w:r w:rsidR="008F026F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2553C6" w:rsidRPr="00AD6573" w:rsidTr="00AD6573">
        <w:tc>
          <w:tcPr>
            <w:tcW w:w="2127" w:type="dxa"/>
          </w:tcPr>
          <w:p w:rsidR="002553C6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Przygotowanie, konfiguracja i instalacja Systemu e-usługi w modelu  eksploatacyjnym (w ograniczonym zakresie tj. instalacja sprzętu w jednym  punkcie wymiany ruchu międzyoperatorskiego oraz u 8 wybranych przedsiębiorców telekomunikacyjnych) i przeprowadzenie na tym modelu  II Fazy Testów Akceptacyjnych – protokoły instalacji komponentów  sprzętowych i raport z testów Fazy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C6" w:rsidRPr="00AD6573" w:rsidRDefault="00AD6573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:rsidR="002553C6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06-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:rsidR="002553C6" w:rsidRPr="00AD6573" w:rsidRDefault="002553C6" w:rsidP="002553C6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2553C6" w:rsidRPr="00AD6573" w:rsidRDefault="00683DE2" w:rsidP="002553C6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:rsidTr="00AD6573">
        <w:tc>
          <w:tcPr>
            <w:tcW w:w="2127" w:type="dxa"/>
          </w:tcPr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Przygotowanie i konfiguracja i instalacja Systemu e-usługi do testów w  rzeczywistych sieciach teleinformatycznych (w pełnym zakresie tj.  </w:t>
            </w:r>
          </w:p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instalacja wszystkich komponentów sprzętowych w dwóch EXP i u 20  przedsiębiorców telekomunikacyjnych na terenie całej Polski i  przeprowadzenie na tym modelu Testów Akceptacyjnych III Fazy –  protokoły instalacji komponentów sprzętowych i raport z testów Fazy III.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b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rak </w:t>
            </w:r>
          </w:p>
        </w:tc>
        <w:tc>
          <w:tcPr>
            <w:tcW w:w="1289" w:type="dxa"/>
          </w:tcPr>
          <w:p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10-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:rsidTr="00AD6573">
        <w:trPr>
          <w:trHeight w:val="3262"/>
        </w:trPr>
        <w:tc>
          <w:tcPr>
            <w:tcW w:w="2127" w:type="dxa"/>
          </w:tcPr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Odbiór końcowy Systemu e-usługi przez Zamawiającego (komponentów  sprzętowych, komponentów programowych, dokumentacji  </w:t>
            </w:r>
          </w:p>
          <w:p w:rsidR="008E3981" w:rsidRPr="00AD6573" w:rsidRDefault="008E3981" w:rsidP="008E398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powykonawczej, kodów źródłowych, bibliotek, praw autorskich, licencji  standardowego oprogramowania). Przekazanie Zamawiającemu  dokumentu gwarancji – protokół odbioru końcowego.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6F" w:rsidRPr="00AD6573" w:rsidRDefault="008F026F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 3=1 system</w:t>
            </w:r>
          </w:p>
          <w:p w:rsidR="00BB1F17" w:rsidRPr="00AD6573" w:rsidRDefault="008F026F" w:rsidP="008F026F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KPI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2 =</w:t>
            </w:r>
            <w:r w:rsidR="00BB1F17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:rsidR="008E3981" w:rsidRPr="00AD6573" w:rsidRDefault="008F026F" w:rsidP="008F026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e-usługa  </w:t>
            </w:r>
          </w:p>
        </w:tc>
        <w:tc>
          <w:tcPr>
            <w:tcW w:w="1289" w:type="dxa"/>
          </w:tcPr>
          <w:p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11-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914" w:type="dxa"/>
          </w:tcPr>
          <w:p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8E3981" w:rsidRPr="00AD6573" w:rsidRDefault="00683DE2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Planowany </w:t>
            </w:r>
          </w:p>
        </w:tc>
      </w:tr>
      <w:tr w:rsidR="008E3981" w:rsidRPr="00AD6573" w:rsidTr="00AD6573">
        <w:tc>
          <w:tcPr>
            <w:tcW w:w="2127" w:type="dxa"/>
          </w:tcPr>
          <w:p w:rsidR="008E3981" w:rsidRPr="00AD6573" w:rsidRDefault="008E3981" w:rsidP="008E3981">
            <w:pPr>
              <w:ind w:right="85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Podpisanie Umowy Gwarancyjnej (2-lata) i </w:t>
            </w: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>realizacja działań Wykonawcy  w okresie gwarancyjnym.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981" w:rsidRPr="00AD6573" w:rsidRDefault="00BB1F17" w:rsidP="008E3981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lastRenderedPageBreak/>
              <w:t xml:space="preserve">Brak </w:t>
            </w:r>
          </w:p>
        </w:tc>
        <w:tc>
          <w:tcPr>
            <w:tcW w:w="1289" w:type="dxa"/>
          </w:tcPr>
          <w:p w:rsidR="008E3981" w:rsidRPr="00AD6573" w:rsidRDefault="00AD6573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05-20</w:t>
            </w:r>
            <w:r w:rsidR="008E3981" w:rsidRPr="00AD6573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914" w:type="dxa"/>
          </w:tcPr>
          <w:p w:rsidR="008E3981" w:rsidRPr="00AD6573" w:rsidRDefault="008E3981" w:rsidP="008E3981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607DA4" w:rsidRPr="00AD6573" w:rsidRDefault="00655B62" w:rsidP="00607DA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:rsidR="008E3981" w:rsidRPr="00AD6573" w:rsidRDefault="00607DA4" w:rsidP="009D2A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</w:tbl>
    <w:p w:rsidR="00141A92" w:rsidRPr="00AD6573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AD6573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D6573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:rsidR="00047D9D" w:rsidRPr="00AD6573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AD6573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AD6573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AD6573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AD6573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D6573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EE6DBD" w:rsidRPr="00AD6573" w:rsidTr="00047D9D">
        <w:tc>
          <w:tcPr>
            <w:tcW w:w="2545" w:type="dxa"/>
          </w:tcPr>
          <w:p w:rsidR="00EE6DBD" w:rsidRPr="00AD6573" w:rsidRDefault="00EE6DBD" w:rsidP="00AD6573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6573">
              <w:rPr>
                <w:rFonts w:cs="Arial"/>
                <w:sz w:val="18"/>
                <w:szCs w:val="18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EE6DBD" w:rsidRPr="00AD6573" w:rsidRDefault="00EE6DBD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1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> </w:t>
            </w:r>
            <w:r w:rsidRPr="00AD6573">
              <w:rPr>
                <w:rFonts w:ascii="Arial" w:hAnsi="Arial" w:cs="Arial"/>
                <w:sz w:val="18"/>
                <w:szCs w:val="18"/>
              </w:rPr>
              <w:t>000</w:t>
            </w:r>
            <w:r w:rsidR="009604BA" w:rsidRP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2024 </w:t>
            </w:r>
          </w:p>
        </w:tc>
        <w:tc>
          <w:tcPr>
            <w:tcW w:w="2268" w:type="dxa"/>
          </w:tcPr>
          <w:p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:rsidTr="00AD6573">
        <w:trPr>
          <w:trHeight w:val="723"/>
        </w:trPr>
        <w:tc>
          <w:tcPr>
            <w:tcW w:w="2545" w:type="dxa"/>
          </w:tcPr>
          <w:p w:rsidR="00EE6DBD" w:rsidRPr="00AD6573" w:rsidRDefault="00EE6DBD" w:rsidP="00EE6DBD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</w:t>
            </w:r>
          </w:p>
          <w:p w:rsidR="00EE6DBD" w:rsidRPr="00AD6573" w:rsidRDefault="00EE6DBD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dwustronna interakcja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</w:tcPr>
          <w:p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 </w:t>
            </w:r>
          </w:p>
        </w:tc>
        <w:tc>
          <w:tcPr>
            <w:tcW w:w="1701" w:type="dxa"/>
          </w:tcPr>
          <w:p w:rsidR="00EE6DBD" w:rsidRPr="00AD6573" w:rsidRDefault="009C47BF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E6DBD" w:rsidRPr="00AD6573" w:rsidTr="00047D9D">
        <w:tc>
          <w:tcPr>
            <w:tcW w:w="2545" w:type="dxa"/>
          </w:tcPr>
          <w:p w:rsidR="00EE6DBD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uruchomionych systemów teleinformatycznych w podmiotach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wykonujących zadania publiczne</w:t>
            </w:r>
          </w:p>
        </w:tc>
        <w:tc>
          <w:tcPr>
            <w:tcW w:w="1278" w:type="dxa"/>
          </w:tcPr>
          <w:p w:rsidR="00EE6DBD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EE6DBD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</w:tc>
        <w:tc>
          <w:tcPr>
            <w:tcW w:w="1701" w:type="dxa"/>
          </w:tcPr>
          <w:p w:rsidR="00EE6DBD" w:rsidRPr="00AD6573" w:rsidRDefault="009C47BF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:rsidR="00EE6DBD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:rsidTr="00047D9D">
        <w:tc>
          <w:tcPr>
            <w:tcW w:w="2545" w:type="dxa"/>
          </w:tcPr>
          <w:p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niebędących pracownikami IT, objętych wsparciem szkoleniowym - ogółem</w:t>
            </w:r>
          </w:p>
        </w:tc>
        <w:tc>
          <w:tcPr>
            <w:tcW w:w="1278" w:type="dxa"/>
          </w:tcPr>
          <w:p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32 </w:t>
            </w:r>
          </w:p>
        </w:tc>
        <w:tc>
          <w:tcPr>
            <w:tcW w:w="1701" w:type="dxa"/>
          </w:tcPr>
          <w:p w:rsidR="009604BA" w:rsidRPr="00AD6573" w:rsidRDefault="001D1061" w:rsidP="00AD6573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:rsidTr="00047D9D">
        <w:tc>
          <w:tcPr>
            <w:tcW w:w="2545" w:type="dxa"/>
          </w:tcPr>
          <w:p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kobiety</w:t>
            </w:r>
          </w:p>
        </w:tc>
        <w:tc>
          <w:tcPr>
            <w:tcW w:w="1278" w:type="dxa"/>
          </w:tcPr>
          <w:p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9604BA" w:rsidRPr="00AD6573" w:rsidRDefault="009604BA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 </w:t>
            </w:r>
          </w:p>
        </w:tc>
        <w:tc>
          <w:tcPr>
            <w:tcW w:w="1701" w:type="dxa"/>
          </w:tcPr>
          <w:p w:rsidR="009604BA" w:rsidRPr="00AD6573" w:rsidRDefault="00AD6573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="001D1061" w:rsidRPr="00AD6573">
              <w:rPr>
                <w:rFonts w:ascii="Arial" w:hAnsi="Arial" w:cs="Arial"/>
                <w:sz w:val="18"/>
                <w:szCs w:val="18"/>
                <w:lang w:eastAsia="pl-PL"/>
              </w:rPr>
              <w:t>2023</w:t>
            </w:r>
          </w:p>
        </w:tc>
        <w:tc>
          <w:tcPr>
            <w:tcW w:w="2268" w:type="dxa"/>
          </w:tcPr>
          <w:p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9604BA" w:rsidRPr="00AD6573" w:rsidTr="00047D9D">
        <w:tc>
          <w:tcPr>
            <w:tcW w:w="2545" w:type="dxa"/>
          </w:tcPr>
          <w:p w:rsidR="009604BA" w:rsidRPr="00AD6573" w:rsidRDefault="009604BA" w:rsidP="00AD6573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Liczba pracowników podmiotów wykonujących zadania publiczne nie</w:t>
            </w:r>
            <w:r w:rsidR="00AD657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D6573">
              <w:rPr>
                <w:rFonts w:ascii="Arial" w:hAnsi="Arial" w:cs="Arial"/>
                <w:sz w:val="18"/>
                <w:szCs w:val="18"/>
              </w:rPr>
              <w:t>będących pracownikami IT, objętych wsparciem szkoleniowym – mężczyźni</w:t>
            </w:r>
          </w:p>
        </w:tc>
        <w:tc>
          <w:tcPr>
            <w:tcW w:w="1278" w:type="dxa"/>
          </w:tcPr>
          <w:p w:rsidR="009604BA" w:rsidRPr="00AD6573" w:rsidRDefault="00BB1F1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:rsidR="009604BA" w:rsidRPr="00AD6573" w:rsidRDefault="006E51C1" w:rsidP="00AD6573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 xml:space="preserve">16 </w:t>
            </w:r>
          </w:p>
        </w:tc>
        <w:tc>
          <w:tcPr>
            <w:tcW w:w="1701" w:type="dxa"/>
          </w:tcPr>
          <w:p w:rsidR="009604BA" w:rsidRPr="00AD6573" w:rsidRDefault="001D1061" w:rsidP="00AD657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AD6573" w:rsidRPr="00AD6573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AD6573">
              <w:rPr>
                <w:rFonts w:ascii="Arial" w:hAnsi="Arial" w:cs="Arial"/>
                <w:sz w:val="18"/>
                <w:szCs w:val="18"/>
                <w:lang w:eastAsia="pl-PL"/>
              </w:rPr>
              <w:t xml:space="preserve">2023 </w:t>
            </w:r>
          </w:p>
        </w:tc>
        <w:tc>
          <w:tcPr>
            <w:tcW w:w="2268" w:type="dxa"/>
          </w:tcPr>
          <w:p w:rsidR="009604BA" w:rsidRPr="00AD6573" w:rsidRDefault="00AD6573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AD6573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38673F" w:rsidRPr="00141A92" w:rsidRDefault="0038673F" w:rsidP="007A6819">
            <w:pPr>
              <w:autoSpaceDE w:val="0"/>
              <w:autoSpaceDN w:val="0"/>
              <w:adjustRightInd w:val="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673F">
              <w:rPr>
                <w:rFonts w:ascii="Arial" w:hAnsi="Arial" w:cs="Arial"/>
                <w:sz w:val="18"/>
                <w:szCs w:val="18"/>
              </w:rPr>
              <w:t>Dostęp do bieżącej informacji o jakości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673F">
              <w:rPr>
                <w:rFonts w:ascii="Arial" w:hAnsi="Arial" w:cs="Arial"/>
                <w:sz w:val="18"/>
                <w:szCs w:val="18"/>
              </w:rPr>
              <w:t>usług IAS</w:t>
            </w:r>
            <w:r w:rsidR="007A681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69" w:type="dxa"/>
          </w:tcPr>
          <w:p w:rsidR="0038673F" w:rsidRPr="00B819B5" w:rsidRDefault="007A6819" w:rsidP="00A263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</w:t>
            </w:r>
            <w:r w:rsidR="00B819B5" w:rsidRPr="00B819B5">
              <w:rPr>
                <w:rFonts w:ascii="Arial" w:hAnsi="Arial" w:cs="Arial"/>
                <w:sz w:val="18"/>
                <w:szCs w:val="20"/>
              </w:rPr>
              <w:t>2023</w:t>
            </w:r>
            <w:r w:rsidR="00A263AA">
              <w:rPr>
                <w:rFonts w:ascii="Arial" w:hAnsi="Arial" w:cs="Arial"/>
                <w:sz w:val="18"/>
                <w:szCs w:val="20"/>
              </w:rPr>
              <w:t xml:space="preserve">  </w:t>
            </w:r>
          </w:p>
          <w:p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:rsidR="007D38BD" w:rsidRPr="00141A92" w:rsidRDefault="007A68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-</w:t>
            </w: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C122E" w:rsidTr="00C6751B">
        <w:tc>
          <w:tcPr>
            <w:tcW w:w="2937" w:type="dxa"/>
          </w:tcPr>
          <w:p w:rsidR="00C6751B" w:rsidRPr="00DC122E" w:rsidRDefault="00DC122E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Baza danych obejmująca m.in. wyniki pomiarów historycznych 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statystyki z pomiarów SMJI</w:t>
            </w:r>
            <w:r w:rsidR="00725708" w:rsidRPr="00DC122E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w sieciach wybranych przedsiębiorców (operatorów, dostawców usług)</w:t>
            </w:r>
            <w:r w:rsidR="00C43191">
              <w:rPr>
                <w:rFonts w:ascii="Arial" w:hAnsi="Arial" w:cs="Arial"/>
                <w:sz w:val="18"/>
                <w:szCs w:val="18"/>
              </w:rPr>
              <w:t xml:space="preserve"> z ich prezentacją w różnych przekrojach, obszarach i okresach na obszarze całego kraju lub wybranych regionach.</w:t>
            </w:r>
            <w:r w:rsidR="000E3210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169" w:type="dxa"/>
          </w:tcPr>
          <w:p w:rsidR="00C6751B" w:rsidRPr="00DC122E" w:rsidRDefault="00C43191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30-04-2023</w:t>
            </w:r>
          </w:p>
        </w:tc>
        <w:tc>
          <w:tcPr>
            <w:tcW w:w="1134" w:type="dxa"/>
          </w:tcPr>
          <w:p w:rsidR="00C6751B" w:rsidRPr="00DC122E" w:rsidRDefault="00843433" w:rsidP="00C675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4394" w:type="dxa"/>
          </w:tcPr>
          <w:p w:rsidR="00845656" w:rsidRPr="00845656" w:rsidRDefault="00843433" w:rsidP="008456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61FF" w:rsidRPr="002B50C0" w:rsidTr="006251DB">
        <w:tc>
          <w:tcPr>
            <w:tcW w:w="2547" w:type="dxa"/>
          </w:tcPr>
          <w:p w:rsidR="00F761FF" w:rsidRPr="004576B6" w:rsidRDefault="00683DE2" w:rsidP="004576B6">
            <w:pPr>
              <w:spacing w:after="120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System Informatyczny – SMJI</w:t>
            </w:r>
            <w:r w:rsidR="004576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F761FF" w:rsidRPr="004576B6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  <w:lang w:eastAsia="pl-PL"/>
              </w:rPr>
              <w:t>11-2023</w:t>
            </w:r>
          </w:p>
        </w:tc>
        <w:tc>
          <w:tcPr>
            <w:tcW w:w="1843" w:type="dxa"/>
          </w:tcPr>
          <w:p w:rsidR="00F761FF" w:rsidRPr="001B6667" w:rsidRDefault="004576B6" w:rsidP="006251D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F761FF" w:rsidRDefault="00843433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F761FF" w:rsidRPr="002B50C0" w:rsidTr="006251DB">
        <w:tc>
          <w:tcPr>
            <w:tcW w:w="2547" w:type="dxa"/>
          </w:tcPr>
          <w:p w:rsidR="00F761FF" w:rsidRPr="004576B6" w:rsidRDefault="00683DE2" w:rsidP="004576B6">
            <w:pPr>
              <w:spacing w:after="120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76B6">
              <w:rPr>
                <w:rFonts w:ascii="Arial" w:hAnsi="Arial" w:cs="Arial"/>
                <w:sz w:val="18"/>
                <w:szCs w:val="18"/>
              </w:rPr>
              <w:t>Rejestr publiczny o dostępności i jakości świadczonych usług IAS przez przedsiębiorców telekomunikacyjnych</w:t>
            </w:r>
            <w:r w:rsidR="004576B6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1701" w:type="dxa"/>
          </w:tcPr>
          <w:p w:rsidR="00F761FF" w:rsidRPr="004576B6" w:rsidRDefault="004576B6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576B6">
              <w:rPr>
                <w:rFonts w:ascii="Arial" w:hAnsi="Arial" w:cs="Arial"/>
                <w:sz w:val="18"/>
                <w:szCs w:val="18"/>
                <w:lang w:eastAsia="pl-PL"/>
              </w:rPr>
              <w:t xml:space="preserve">11-2023 </w:t>
            </w:r>
          </w:p>
        </w:tc>
        <w:tc>
          <w:tcPr>
            <w:tcW w:w="1843" w:type="dxa"/>
          </w:tcPr>
          <w:p w:rsidR="00F761FF" w:rsidRPr="001B6667" w:rsidRDefault="004576B6" w:rsidP="006251DB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:rsidR="00F761FF" w:rsidRDefault="00843433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- 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center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D977D6">
        <w:trPr>
          <w:tblHeader/>
          <w:jc w:val="center"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B7397" w:rsidRPr="002B50C0" w:rsidTr="00D977D6">
        <w:trPr>
          <w:jc w:val="center"/>
        </w:trPr>
        <w:tc>
          <w:tcPr>
            <w:tcW w:w="3265" w:type="dxa"/>
            <w:vAlign w:val="center"/>
          </w:tcPr>
          <w:p w:rsidR="004B7397" w:rsidRPr="004B7397" w:rsidRDefault="004B7397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Brak zasobów lub niewystarczające kompetencje do tworzenia profesjonalnych rozwiązań</w:t>
            </w:r>
          </w:p>
        </w:tc>
        <w:tc>
          <w:tcPr>
            <w:tcW w:w="1697" w:type="dxa"/>
            <w:vAlign w:val="center"/>
          </w:tcPr>
          <w:p w:rsidR="004B7397" w:rsidRPr="00B21490" w:rsidRDefault="00D977D6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:rsidR="004B7397" w:rsidRPr="00B21490" w:rsidRDefault="000E3210" w:rsidP="00D977D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="00663A0C">
              <w:rPr>
                <w:rFonts w:ascii="Arial" w:hAnsi="Arial" w:cs="Arial"/>
                <w:sz w:val="18"/>
                <w:szCs w:val="20"/>
              </w:rPr>
              <w:t>ysokie</w:t>
            </w:r>
          </w:p>
        </w:tc>
        <w:tc>
          <w:tcPr>
            <w:tcW w:w="2410" w:type="dxa"/>
          </w:tcPr>
          <w:p w:rsidR="004B7397" w:rsidRPr="004B7397" w:rsidRDefault="004B7397" w:rsidP="004B7397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Stworzenie planu naboru oraz listy potrzebnych ról nowych pracowników.</w:t>
            </w:r>
          </w:p>
          <w:p w:rsidR="004B7397" w:rsidRPr="004B7397" w:rsidRDefault="004B7397" w:rsidP="004B7397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Zaplanowanie systemu motywacyjnego (premie, nagrody).</w:t>
            </w:r>
          </w:p>
          <w:p w:rsidR="004B7397" w:rsidRPr="004B7397" w:rsidRDefault="004B7397" w:rsidP="004B7397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Wykorzystanie usług zewnętrznych.</w:t>
            </w:r>
          </w:p>
          <w:p w:rsidR="004B7397" w:rsidRPr="004B7397" w:rsidRDefault="004B7397" w:rsidP="004B7397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Zaplanowanie systemu szkoleń podnoszącego kompetencje członków zespołu.</w:t>
            </w:r>
          </w:p>
          <w:p w:rsidR="004B7397" w:rsidRPr="0070337E" w:rsidRDefault="004B7397" w:rsidP="004B7397">
            <w:pPr>
              <w:rPr>
                <w:rFonts w:ascii="Arial" w:hAnsi="Arial" w:cs="Arial"/>
                <w:sz w:val="18"/>
                <w:szCs w:val="18"/>
              </w:rPr>
            </w:pPr>
            <w:r w:rsidRPr="004B7397">
              <w:rPr>
                <w:rFonts w:ascii="Arial" w:hAnsi="Arial" w:cs="Arial"/>
                <w:sz w:val="18"/>
                <w:szCs w:val="18"/>
              </w:rPr>
              <w:t>Utrzymywanie aktualnej dokumentacji zarządczej i specjalistycznej.</w:t>
            </w:r>
          </w:p>
        </w:tc>
      </w:tr>
      <w:tr w:rsidR="00D977D6" w:rsidRPr="002B50C0" w:rsidTr="00D977D6">
        <w:trPr>
          <w:jc w:val="center"/>
        </w:trPr>
        <w:tc>
          <w:tcPr>
            <w:tcW w:w="3265" w:type="dxa"/>
            <w:vAlign w:val="center"/>
          </w:tcPr>
          <w:p w:rsidR="00D977D6" w:rsidRPr="00D977D6" w:rsidRDefault="00D977D6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Trudności z opracowaniem zakresu, pełnej specyfikacji wymagań i procesów (w tym optymalizacji procesów istniejących)</w:t>
            </w:r>
          </w:p>
        </w:tc>
        <w:tc>
          <w:tcPr>
            <w:tcW w:w="1697" w:type="dxa"/>
            <w:vAlign w:val="center"/>
          </w:tcPr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410" w:type="dxa"/>
          </w:tcPr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Bieżące monitorowanie zmian prawnych na etapie ich tworzenia, reagowanie na zmiany.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Bieżące monitorowanie zmian w komplementarnych projektach.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lastRenderedPageBreak/>
              <w:t>Precyzyjnie ustalone ramy współpracy z interesariuszami projektu.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Włączanie  metodyk zwinnych (zgodnie z PRINCE Agile) do realizacji etapów projektu tj. iteracyjne tworzenie, testowanie i odbiór tworzonego rozwiązania.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Przeprowadzenie badań potrzeb i użyteczności oraz projektowanie prototypów rozwiązania z użytkownikiem końcowym.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Wykorzystanie procesów zarządzania zmianą w tym założenie budżetu na zmiany.</w:t>
            </w:r>
          </w:p>
          <w:p w:rsidR="00D977D6" w:rsidRPr="00D977D6" w:rsidRDefault="00D977D6" w:rsidP="00D977D6">
            <w:pPr>
              <w:rPr>
                <w:rFonts w:ascii="Arial" w:hAnsi="Arial" w:cs="Arial"/>
                <w:sz w:val="18"/>
                <w:szCs w:val="18"/>
              </w:rPr>
            </w:pPr>
            <w:r w:rsidRPr="00D977D6">
              <w:rPr>
                <w:rFonts w:ascii="Arial" w:hAnsi="Arial" w:cs="Arial"/>
                <w:sz w:val="18"/>
                <w:szCs w:val="18"/>
              </w:rPr>
              <w:t>Eskalowanie problemów na poziom kierownictwa UKE / ew.  KPRM, CPPC i jednostek interesariuszy. </w:t>
            </w:r>
          </w:p>
        </w:tc>
      </w:tr>
      <w:tr w:rsidR="004B7397" w:rsidRPr="002B50C0" w:rsidTr="00D977D6">
        <w:trPr>
          <w:jc w:val="center"/>
        </w:trPr>
        <w:tc>
          <w:tcPr>
            <w:tcW w:w="3265" w:type="dxa"/>
            <w:vAlign w:val="center"/>
          </w:tcPr>
          <w:p w:rsidR="004B7397" w:rsidRPr="00B21490" w:rsidRDefault="00B21490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lastRenderedPageBreak/>
              <w:t>Dostarczenie niedziałających lub niespełniających oczekiwań użytkowników produktów projektu</w:t>
            </w:r>
          </w:p>
        </w:tc>
        <w:tc>
          <w:tcPr>
            <w:tcW w:w="1697" w:type="dxa"/>
            <w:vAlign w:val="center"/>
          </w:tcPr>
          <w:p w:rsidR="004B7397" w:rsidRPr="00D977D6" w:rsidRDefault="00B21490" w:rsidP="00D977D6">
            <w:pPr>
              <w:rPr>
                <w:rFonts w:ascii="Arial" w:hAnsi="Arial" w:cs="Arial"/>
                <w:sz w:val="18"/>
                <w:szCs w:val="20"/>
              </w:rPr>
            </w:pPr>
            <w:r w:rsidRPr="00D977D6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:rsidR="004B7397" w:rsidRPr="00D977D6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Bieżące monitorowanie zmian prawnych na etapie ich tworzenia, reagowanie na zmiany.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Bieżące monitorowanie zmian w komplementarnych projektach.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Precyzyjnie ustalone ramy współpracy z interesariuszami projektu.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Przeprowadzenie uzgodnień międzyresortowych i społecznych.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Stosowanie metodyk zwinnych (Zgodnie z Prince Agile) do realizacji etapów projektu, tj. iteracyjne tworzenie, testowanie i odbiór tworzonego rozwiązania.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Przeprowadzenie badań potrzeb i użyteczności oraz projektowanie prototypów rozwiązania z użytkownikiem końcowym.</w:t>
            </w:r>
          </w:p>
          <w:p w:rsidR="00B21490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Przeprowadzenie pilotażu projektu.</w:t>
            </w:r>
          </w:p>
          <w:p w:rsidR="004B7397" w:rsidRPr="00B21490" w:rsidRDefault="00B21490" w:rsidP="00B21490">
            <w:pPr>
              <w:rPr>
                <w:rFonts w:ascii="Arial" w:hAnsi="Arial" w:cs="Arial"/>
                <w:sz w:val="18"/>
                <w:szCs w:val="18"/>
              </w:rPr>
            </w:pPr>
            <w:r w:rsidRPr="00B21490">
              <w:rPr>
                <w:rFonts w:ascii="Arial" w:hAnsi="Arial" w:cs="Arial"/>
                <w:sz w:val="18"/>
                <w:szCs w:val="18"/>
              </w:rPr>
              <w:t>Wykorzystanie procesów zarządzania zmianą w tym założenie budżetu na zmiany</w:t>
            </w:r>
          </w:p>
        </w:tc>
      </w:tr>
      <w:tr w:rsidR="00B21115" w:rsidRPr="002B50C0" w:rsidTr="00663A0C">
        <w:trPr>
          <w:jc w:val="center"/>
        </w:trPr>
        <w:tc>
          <w:tcPr>
            <w:tcW w:w="3265" w:type="dxa"/>
            <w:vAlign w:val="center"/>
          </w:tcPr>
          <w:p w:rsidR="00B21115" w:rsidRPr="00663A0C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663A0C">
              <w:rPr>
                <w:rFonts w:ascii="Arial" w:hAnsi="Arial" w:cs="Arial"/>
                <w:sz w:val="18"/>
                <w:szCs w:val="18"/>
              </w:rPr>
              <w:t>Brak lub opóźnienia w uzyskaniu strategicznych decyzji projektowych</w:t>
            </w:r>
          </w:p>
        </w:tc>
        <w:tc>
          <w:tcPr>
            <w:tcW w:w="1697" w:type="dxa"/>
            <w:vAlign w:val="center"/>
          </w:tcPr>
          <w:p w:rsidR="00B21115" w:rsidRPr="00663A0C" w:rsidRDefault="00663A0C" w:rsidP="00B21115">
            <w:pPr>
              <w:rPr>
                <w:rFonts w:ascii="Arial" w:hAnsi="Arial" w:cs="Arial"/>
                <w:sz w:val="18"/>
                <w:szCs w:val="20"/>
              </w:rPr>
            </w:pPr>
            <w:r w:rsidRPr="00663A0C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:rsidR="00B21115" w:rsidRPr="00663A0C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Pr="00663A0C">
              <w:rPr>
                <w:rFonts w:ascii="Arial" w:eastAsia="Times New Roman" w:hAnsi="Arial" w:cs="Arial"/>
                <w:sz w:val="20"/>
                <w:lang w:eastAsia="pl-PL"/>
              </w:rPr>
              <w:t xml:space="preserve">rednie </w:t>
            </w:r>
          </w:p>
        </w:tc>
        <w:tc>
          <w:tcPr>
            <w:tcW w:w="2410" w:type="dxa"/>
          </w:tcPr>
          <w:p w:rsidR="00B21115" w:rsidRPr="00B21115" w:rsidRDefault="00B21115" w:rsidP="00B2111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Ustalenie wysokiego priorytetu projektu.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Reprezentatywna i decyzyjna struktura Komitetu Sterującego projektu.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Eskalowanie problemów na poziom kierownictwa UKE / ew. KPRM czy też CPPC.</w:t>
            </w:r>
          </w:p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 xml:space="preserve">Cykliczne raportowanie zgodne z Planem Komunikacji w zakresie statusu </w:t>
            </w:r>
            <w:r w:rsidRPr="00B21115">
              <w:rPr>
                <w:rFonts w:ascii="Arial" w:hAnsi="Arial" w:cs="Arial"/>
                <w:sz w:val="18"/>
                <w:szCs w:val="18"/>
              </w:rPr>
              <w:lastRenderedPageBreak/>
              <w:t>projektu, decyzji koniecznych do podjęcia i ryzyk.</w:t>
            </w:r>
          </w:p>
        </w:tc>
      </w:tr>
      <w:tr w:rsidR="00B21115" w:rsidRPr="002B50C0" w:rsidTr="00663A0C">
        <w:trPr>
          <w:jc w:val="center"/>
        </w:trPr>
        <w:tc>
          <w:tcPr>
            <w:tcW w:w="3265" w:type="dxa"/>
            <w:vAlign w:val="center"/>
          </w:tcPr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Nieefektywny sposób zarządzania projektem</w:t>
            </w:r>
          </w:p>
        </w:tc>
        <w:tc>
          <w:tcPr>
            <w:tcW w:w="1697" w:type="dxa"/>
            <w:vAlign w:val="center"/>
          </w:tcPr>
          <w:p w:rsidR="00B21115" w:rsidRPr="00663A0C" w:rsidRDefault="00663A0C" w:rsidP="00663A0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663A0C">
              <w:rPr>
                <w:rFonts w:ascii="Arial" w:hAnsi="Arial" w:cs="Arial"/>
                <w:sz w:val="18"/>
                <w:szCs w:val="20"/>
              </w:rPr>
              <w:t xml:space="preserve">iskie </w:t>
            </w:r>
          </w:p>
        </w:tc>
        <w:tc>
          <w:tcPr>
            <w:tcW w:w="2126" w:type="dxa"/>
            <w:vAlign w:val="center"/>
          </w:tcPr>
          <w:p w:rsidR="00B21115" w:rsidRPr="00663A0C" w:rsidRDefault="00663A0C" w:rsidP="00663A0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Pr="00663A0C">
              <w:rPr>
                <w:rFonts w:ascii="Arial" w:eastAsia="Times New Roman" w:hAnsi="Arial" w:cs="Arial"/>
                <w:sz w:val="20"/>
                <w:lang w:eastAsia="pl-PL"/>
              </w:rPr>
              <w:t xml:space="preserve">rednie </w:t>
            </w:r>
          </w:p>
        </w:tc>
        <w:tc>
          <w:tcPr>
            <w:tcW w:w="2410" w:type="dxa"/>
          </w:tcPr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Ustalenie przed rozpoczęciem projektu struktury zarządzania i organizacyjnej.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Określenie jasnych ról, zadań i odpowiedzialności zespołu projektowego.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Zdefiniowanie szczegółowego modelu współpracy pomiędzy poszczególnymi jednostkami.</w:t>
            </w:r>
          </w:p>
          <w:p w:rsidR="00B21115" w:rsidRPr="00B21115" w:rsidRDefault="00B21115" w:rsidP="00B2111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Stosowanie się do metodyki zarządzania projektem w tym stosowanie metodyk zwinnych do realizacji etapów projektu zgodnie z Prince Agile.</w:t>
            </w:r>
          </w:p>
        </w:tc>
      </w:tr>
      <w:tr w:rsidR="00B21115" w:rsidRPr="002B50C0" w:rsidTr="00663A0C">
        <w:trPr>
          <w:jc w:val="center"/>
        </w:trPr>
        <w:tc>
          <w:tcPr>
            <w:tcW w:w="3265" w:type="dxa"/>
            <w:vAlign w:val="center"/>
          </w:tcPr>
          <w:p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Niedotrzymywanie warunków umowy przez wykonawcę (niedotrzymywanie terminów, niska jakość prac).</w:t>
            </w:r>
          </w:p>
        </w:tc>
        <w:tc>
          <w:tcPr>
            <w:tcW w:w="1697" w:type="dxa"/>
            <w:vAlign w:val="center"/>
          </w:tcPr>
          <w:p w:rsidR="00B21115" w:rsidRPr="00663A0C" w:rsidRDefault="009E6050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6" w:type="dxa"/>
            <w:vAlign w:val="center"/>
          </w:tcPr>
          <w:p w:rsidR="00B21115" w:rsidRPr="00663A0C" w:rsidRDefault="009E6050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wysokie </w:t>
            </w:r>
          </w:p>
        </w:tc>
        <w:tc>
          <w:tcPr>
            <w:tcW w:w="2410" w:type="dxa"/>
          </w:tcPr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Precyzyjnie ustalone ramy współpracy z jednostką realizacyjną.</w:t>
            </w:r>
          </w:p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Stosowanie metodyk zwinnych, zgodnie z Prince Agile, do realizacji etapów projektu, tj. iteracyjne tworzenie, testowanie i odbiór tworzonego rozwiązania.</w:t>
            </w:r>
          </w:p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Bieżące monitorowanie postępu prac.</w:t>
            </w:r>
          </w:p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Cykliczne raportowanie zgodne z Planem Komunikacji.</w:t>
            </w:r>
          </w:p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Eskalowanie problemów na poziom kierownictwa UKE / ew. KPRM, CPPC i wykonawcy.</w:t>
            </w:r>
          </w:p>
          <w:p w:rsidR="00B21115" w:rsidRPr="0070337E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Wykorzystanie kar umownych za niedotrzymanie warunków umowy.</w:t>
            </w:r>
          </w:p>
        </w:tc>
      </w:tr>
      <w:tr w:rsidR="00B21115" w:rsidRPr="002B50C0" w:rsidTr="009E6050">
        <w:trPr>
          <w:jc w:val="center"/>
        </w:trPr>
        <w:tc>
          <w:tcPr>
            <w:tcW w:w="3265" w:type="dxa"/>
            <w:vAlign w:val="center"/>
          </w:tcPr>
          <w:p w:rsidR="00B21115" w:rsidRPr="009E605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hAnsi="Arial" w:cs="Arial"/>
                <w:sz w:val="18"/>
                <w:szCs w:val="18"/>
              </w:rPr>
              <w:t>Niewłaściwe oszacowanie budżetu realizacji projektu.</w:t>
            </w:r>
          </w:p>
        </w:tc>
        <w:tc>
          <w:tcPr>
            <w:tcW w:w="1697" w:type="dxa"/>
            <w:vAlign w:val="center"/>
          </w:tcPr>
          <w:p w:rsidR="009E6050" w:rsidRPr="009E6050" w:rsidRDefault="009E6050" w:rsidP="00B211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126" w:type="dxa"/>
            <w:vAlign w:val="center"/>
          </w:tcPr>
          <w:p w:rsidR="00B21115" w:rsidRPr="009E6050" w:rsidRDefault="009E6050" w:rsidP="009E6050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Wsparcie eksperckie w zakresie przygotowania wyceny i analizy finansowej projektu.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Odpowiednie formułowanie zakresu projektu umożliwiające uwzględnienie dodatkowych funkcjonalności.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Utworzenie rezerwy budżetu na zmiany.</w:t>
            </w:r>
          </w:p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Bieżące analizowanie i monitorowanie wszystkich poniesionych wydatków w szczególności dotyczących zarządzania zmianą.</w:t>
            </w:r>
          </w:p>
          <w:p w:rsidR="00B21115" w:rsidRPr="00141A92" w:rsidRDefault="00B21115" w:rsidP="00B2111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Ciągłe monitorowanie trendów rynkowych.</w:t>
            </w:r>
            <w:r w:rsidRPr="001319A7">
              <w:rPr>
                <w:rFonts w:cstheme="minorHAnsi"/>
                <w:szCs w:val="20"/>
              </w:rPr>
              <w:t> 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552"/>
      </w:tblGrid>
      <w:tr w:rsidR="0091332C" w:rsidRPr="006334BF" w:rsidTr="009A45DC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0337E" w:rsidRPr="001B6667" w:rsidTr="009E605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:rsidR="0070337E" w:rsidRPr="009E6050" w:rsidRDefault="00B21115" w:rsidP="006E3B36">
            <w:pPr>
              <w:rPr>
                <w:rFonts w:ascii="Arial" w:hAnsi="Arial" w:cs="Arial"/>
                <w:sz w:val="18"/>
                <w:szCs w:val="18"/>
              </w:rPr>
            </w:pPr>
            <w:r w:rsidRPr="009E6050">
              <w:rPr>
                <w:rFonts w:ascii="Arial" w:eastAsia="Times New Roman" w:hAnsi="Arial" w:cs="Arial"/>
                <w:sz w:val="18"/>
                <w:szCs w:val="18"/>
              </w:rPr>
              <w:t>Niewystarczająca wydajność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70337E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:rsidR="0070337E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:rsidR="0070337E" w:rsidRPr="004576B6" w:rsidRDefault="00B21115" w:rsidP="009E6050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systemu.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Skalowalność systemu.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Zapewnienie odpowiednich zasobów sprzętowych.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 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Wykonanie testów wydajnościowych.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        </w:t>
            </w:r>
            <w:r w:rsidRPr="00B21115">
              <w:rPr>
                <w:rFonts w:ascii="Arial" w:hAnsi="Arial" w:cs="Arial"/>
                <w:sz w:val="18"/>
                <w:szCs w:val="18"/>
              </w:rPr>
              <w:t>Uzgodnienia dotyczące wydajności przy wykonaniu integracji z systemami powiązanymi.</w:t>
            </w:r>
            <w:r w:rsidR="009E6050">
              <w:rPr>
                <w:rFonts w:ascii="Arial" w:hAnsi="Arial" w:cs="Arial"/>
                <w:sz w:val="18"/>
                <w:szCs w:val="18"/>
              </w:rPr>
              <w:t xml:space="preserve">                                         </w:t>
            </w:r>
            <w:r w:rsidRPr="00B21115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projektu.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Pr="00B21115">
              <w:rPr>
                <w:rFonts w:ascii="Arial" w:hAnsi="Arial" w:cs="Arial"/>
                <w:sz w:val="18"/>
                <w:szCs w:val="18"/>
              </w:rPr>
              <w:t>Wdrożenie odpowiednich procedur dotyczących administrowania systemem.</w:t>
            </w: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Przeprowadzenie pilotażu projektu.</w:t>
            </w:r>
          </w:p>
        </w:tc>
      </w:tr>
      <w:tr w:rsidR="00B21115" w:rsidRPr="001B6667" w:rsidTr="009A45DC">
        <w:trPr>
          <w:trHeight w:val="724"/>
        </w:trPr>
        <w:tc>
          <w:tcPr>
            <w:tcW w:w="3261" w:type="dxa"/>
            <w:shd w:val="clear" w:color="auto" w:fill="auto"/>
          </w:tcPr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hAnsi="Arial" w:cs="Arial"/>
                <w:sz w:val="18"/>
                <w:szCs w:val="18"/>
              </w:rPr>
              <w:t>Awarie systemu powodujące niedostępność systemu lub niewystarczające zapewnienie bezpieczeństwa danych</w:t>
            </w:r>
          </w:p>
          <w:p w:rsidR="00B21115" w:rsidRPr="00B21115" w:rsidRDefault="00B21115" w:rsidP="00B21115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/>
          </w:tcPr>
          <w:p w:rsidR="00B21115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125" w:type="dxa"/>
            <w:shd w:val="clear" w:color="auto" w:fill="FFFFFF"/>
          </w:tcPr>
          <w:p w:rsidR="00B21115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:rsidR="00B21115" w:rsidRPr="00B21115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B21115">
              <w:rPr>
                <w:rFonts w:ascii="Arial" w:eastAsia="Times New Roman" w:hAnsi="Arial" w:cs="Arial"/>
                <w:sz w:val="18"/>
                <w:szCs w:val="18"/>
              </w:rPr>
              <w:t>Bieżący monitoring system.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B21115">
              <w:rPr>
                <w:rFonts w:ascii="Arial" w:hAnsi="Arial" w:cs="Arial"/>
                <w:sz w:val="18"/>
                <w:szCs w:val="18"/>
              </w:rPr>
              <w:t>Wdrożenie odpowiednich procedur dotyczących testów (akceptacyjnych i wydajnościowych) oraz wprowadzenia zmian na środowisko produkcyjne. Wprowadzenie procedur odtworzenia systemu oraz systematycznego tworzenia kopii zapasowych.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1115">
              <w:rPr>
                <w:rFonts w:ascii="Arial" w:hAnsi="Arial" w:cs="Arial"/>
                <w:sz w:val="18"/>
                <w:szCs w:val="18"/>
              </w:rPr>
              <w:t>Wykonanie kontroli, audytów jakości systemu.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B21115">
              <w:rPr>
                <w:rFonts w:ascii="Arial" w:hAnsi="Arial" w:cs="Arial"/>
                <w:sz w:val="18"/>
                <w:szCs w:val="18"/>
              </w:rPr>
              <w:t>Wykonanie testów akceptacyjnych, wydajnościowych przed wprowadzeniem na środowisko produkcyjne.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21115">
              <w:rPr>
                <w:rFonts w:ascii="Arial" w:hAnsi="Arial" w:cs="Arial"/>
                <w:sz w:val="18"/>
                <w:szCs w:val="18"/>
              </w:rPr>
              <w:t>Wykonanie testów bezpieczeństwa prowadzonych przez zewnętrzny podmiot - Audytora bezpieczeństwa.</w:t>
            </w:r>
          </w:p>
        </w:tc>
      </w:tr>
      <w:tr w:rsidR="00B21115" w:rsidRPr="001B6667" w:rsidTr="009A45DC">
        <w:trPr>
          <w:trHeight w:val="724"/>
        </w:trPr>
        <w:tc>
          <w:tcPr>
            <w:tcW w:w="3261" w:type="dxa"/>
            <w:shd w:val="clear" w:color="auto" w:fill="auto"/>
          </w:tcPr>
          <w:p w:rsidR="00B21115" w:rsidRPr="001547D0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Brak dostępności systemu dla wszystkich obywateli i przedsiębiorców</w:t>
            </w:r>
          </w:p>
        </w:tc>
        <w:tc>
          <w:tcPr>
            <w:tcW w:w="1701" w:type="dxa"/>
            <w:shd w:val="clear" w:color="auto" w:fill="FFFFFF"/>
          </w:tcPr>
          <w:p w:rsidR="00B21115" w:rsidRPr="009E6050" w:rsidRDefault="009E6050" w:rsidP="00B2111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:rsidR="00B21115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</w:t>
            </w:r>
          </w:p>
        </w:tc>
        <w:tc>
          <w:tcPr>
            <w:tcW w:w="2552" w:type="dxa"/>
            <w:shd w:val="clear" w:color="auto" w:fill="FFFFFF"/>
          </w:tcPr>
          <w:p w:rsidR="00B21115" w:rsidRPr="001547D0" w:rsidRDefault="001547D0" w:rsidP="00B21115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 xml:space="preserve">Podejmowane działania UKE / KPRM w ramach </w:t>
            </w:r>
            <w:r w:rsidRPr="001547D0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Narodowego Planu Szerokopasmowego </w:t>
            </w:r>
            <w:r w:rsidRPr="001547D0">
              <w:rPr>
                <w:rFonts w:ascii="Arial" w:hAnsi="Arial" w:cs="Arial"/>
                <w:sz w:val="18"/>
                <w:szCs w:val="18"/>
              </w:rPr>
              <w:t>w celu rozbudowy infrastruktury szerokopasmowego Internetu w kraju.</w:t>
            </w:r>
          </w:p>
        </w:tc>
      </w:tr>
      <w:tr w:rsidR="001547D0" w:rsidRPr="001B6667" w:rsidTr="009A45DC">
        <w:trPr>
          <w:trHeight w:val="724"/>
        </w:trPr>
        <w:tc>
          <w:tcPr>
            <w:tcW w:w="3261" w:type="dxa"/>
            <w:shd w:val="clear" w:color="auto" w:fill="auto"/>
          </w:tcPr>
          <w:p w:rsidR="001547D0" w:rsidRPr="001547D0" w:rsidRDefault="001547D0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hAnsi="Arial" w:cs="Arial"/>
                <w:sz w:val="18"/>
                <w:szCs w:val="18"/>
              </w:rPr>
              <w:t>Utrata zaufania do systemu w wyniku awarii i niedostępności systemu, cyberataków</w:t>
            </w:r>
          </w:p>
        </w:tc>
        <w:tc>
          <w:tcPr>
            <w:tcW w:w="1701" w:type="dxa"/>
            <w:shd w:val="clear" w:color="auto" w:fill="FFFFFF"/>
          </w:tcPr>
          <w:p w:rsidR="001547D0" w:rsidRPr="009E6050" w:rsidRDefault="009E6050" w:rsidP="00B2111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125" w:type="dxa"/>
            <w:shd w:val="clear" w:color="auto" w:fill="FFFFFF"/>
          </w:tcPr>
          <w:p w:rsidR="001547D0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ysokie </w:t>
            </w:r>
          </w:p>
        </w:tc>
        <w:tc>
          <w:tcPr>
            <w:tcW w:w="2552" w:type="dxa"/>
            <w:shd w:val="clear" w:color="auto" w:fill="FFFFFF"/>
          </w:tcPr>
          <w:p w:rsidR="001547D0" w:rsidRPr="001547D0" w:rsidRDefault="001547D0" w:rsidP="001547D0">
            <w:pPr>
              <w:rPr>
                <w:rFonts w:ascii="Arial" w:hAnsi="Arial" w:cs="Arial"/>
                <w:sz w:val="18"/>
                <w:szCs w:val="18"/>
              </w:rPr>
            </w:pP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Bieżący monitoring systemów.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                             </w:t>
            </w:r>
            <w:r w:rsidRPr="001547D0">
              <w:rPr>
                <w:rFonts w:ascii="Arial" w:eastAsia="Times New Roman" w:hAnsi="Arial" w:cs="Arial"/>
                <w:sz w:val="18"/>
                <w:szCs w:val="18"/>
              </w:rPr>
              <w:t>Przeprowadzenie pilotażu projektu.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          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 xml:space="preserve">Wdrożenie odpowiednich procedur dotyczących testów (akceptacyjnych i wydajnościowych) i wprowadzenia zmian na środowisko produkcyjne. Wprowadzenie procedur odtworzenia systemu oraz systematycznego </w:t>
            </w:r>
            <w:r w:rsidRPr="001547D0">
              <w:rPr>
                <w:rFonts w:ascii="Arial" w:hAnsi="Arial" w:cs="Arial"/>
                <w:sz w:val="18"/>
                <w:szCs w:val="18"/>
              </w:rPr>
              <w:lastRenderedPageBreak/>
              <w:t>tworzenia kopii zapasowych.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47D0">
              <w:rPr>
                <w:rFonts w:ascii="Arial" w:hAnsi="Arial" w:cs="Arial"/>
                <w:sz w:val="18"/>
                <w:szCs w:val="18"/>
              </w:rPr>
              <w:t>Wykonanie kontroli, audytów jakości systemu.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</w:t>
            </w:r>
            <w:r w:rsidRPr="001547D0">
              <w:rPr>
                <w:rFonts w:ascii="Arial" w:hAnsi="Arial" w:cs="Arial"/>
                <w:sz w:val="18"/>
                <w:szCs w:val="18"/>
              </w:rPr>
              <w:t>Wykonanie testów akceptacyjnych, wydajnościowych przed wprowadzeniem na środowisko produkcyjne.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547D0">
              <w:rPr>
                <w:rFonts w:ascii="Arial" w:hAnsi="Arial" w:cs="Arial"/>
                <w:sz w:val="18"/>
                <w:szCs w:val="18"/>
              </w:rPr>
              <w:t>Wykonanie testów bezpieczeństwa prowadzonych przez zewnętrzny podmiot - Audytora bezpieczeństwa</w:t>
            </w:r>
          </w:p>
        </w:tc>
      </w:tr>
      <w:tr w:rsidR="00B21115" w:rsidRPr="001B6667" w:rsidTr="009A45DC">
        <w:trPr>
          <w:trHeight w:val="724"/>
        </w:trPr>
        <w:tc>
          <w:tcPr>
            <w:tcW w:w="3261" w:type="dxa"/>
            <w:shd w:val="clear" w:color="auto" w:fill="auto"/>
          </w:tcPr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lastRenderedPageBreak/>
              <w:t>Konieczność wypłacania użytkownikom odszkodowań z tytułu poniesionych negatywnych skutków prawnych i/lub finansowych</w:t>
            </w:r>
          </w:p>
        </w:tc>
        <w:tc>
          <w:tcPr>
            <w:tcW w:w="1701" w:type="dxa"/>
            <w:shd w:val="clear" w:color="auto" w:fill="FFFFFF"/>
          </w:tcPr>
          <w:p w:rsidR="00B21115" w:rsidRDefault="00B21115" w:rsidP="00B2111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9E6050" w:rsidRPr="009E6050" w:rsidRDefault="009E6050" w:rsidP="009E60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</w:tcPr>
          <w:p w:rsidR="00B21115" w:rsidRDefault="00B21115" w:rsidP="00B2111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:rsidR="009E6050" w:rsidRPr="009E6050" w:rsidRDefault="009E6050" w:rsidP="009E6050">
            <w:pPr>
              <w:rPr>
                <w:lang w:eastAsia="pl-PL"/>
              </w:rPr>
            </w:pPr>
            <w:r>
              <w:rPr>
                <w:lang w:eastAsia="pl-PL"/>
              </w:rPr>
              <w:t xml:space="preserve">niskie </w:t>
            </w:r>
          </w:p>
        </w:tc>
        <w:tc>
          <w:tcPr>
            <w:tcW w:w="2552" w:type="dxa"/>
            <w:shd w:val="clear" w:color="auto" w:fill="FFFFFF"/>
          </w:tcPr>
          <w:p w:rsidR="00B21115" w:rsidRPr="0070337E" w:rsidRDefault="00B21115" w:rsidP="00B21115">
            <w:pPr>
              <w:rPr>
                <w:rFonts w:ascii="Arial" w:hAnsi="Arial" w:cs="Arial"/>
                <w:sz w:val="18"/>
                <w:szCs w:val="18"/>
              </w:rPr>
            </w:pPr>
            <w:r w:rsidRPr="0070337E">
              <w:rPr>
                <w:rFonts w:ascii="Arial" w:hAnsi="Arial" w:cs="Arial"/>
                <w:sz w:val="18"/>
                <w:szCs w:val="18"/>
              </w:rPr>
              <w:t>Projektowanie prototypów rozwiązania z użytkownikiem końcowym.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</w:t>
            </w:r>
            <w:r w:rsidRPr="0070337E">
              <w:rPr>
                <w:rFonts w:ascii="Arial" w:hAnsi="Arial" w:cs="Arial"/>
                <w:sz w:val="18"/>
                <w:szCs w:val="18"/>
              </w:rPr>
              <w:t>Przeprowadzenie badań użyteczności rozwiązania na prototypach.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Pr="0070337E">
              <w:rPr>
                <w:rFonts w:ascii="Arial" w:hAnsi="Arial" w:cs="Arial"/>
                <w:sz w:val="18"/>
                <w:szCs w:val="18"/>
              </w:rPr>
              <w:t>Przygotowanie planu i zapewnienie kompetentnych osób do zapewnienia jakości w projekcie.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W</w:t>
            </w:r>
            <w:r w:rsidRPr="0070337E">
              <w:rPr>
                <w:rFonts w:ascii="Arial" w:hAnsi="Arial" w:cs="Arial"/>
                <w:sz w:val="18"/>
                <w:szCs w:val="18"/>
              </w:rPr>
              <w:t>drożenie odpowiednich procedur dotyczących testów (akceptacyjnych i wydajnościowych) i wprowadzenia zmian na środowisko produkcyjne.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r w:rsidRPr="0070337E">
              <w:rPr>
                <w:rFonts w:ascii="Arial" w:hAnsi="Arial" w:cs="Arial"/>
                <w:sz w:val="18"/>
                <w:szCs w:val="18"/>
              </w:rPr>
              <w:t>Wykonanie kontroli, audytów jakości systemu.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</w:t>
            </w:r>
            <w:r w:rsidRPr="0070337E">
              <w:rPr>
                <w:rFonts w:ascii="Arial" w:hAnsi="Arial" w:cs="Arial"/>
                <w:sz w:val="18"/>
                <w:szCs w:val="18"/>
              </w:rPr>
              <w:t>Wykonanie testów akceptacyjnych, wydajnościowych przed wprowadzeniem na środowisko produkcyjne.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0337E">
              <w:rPr>
                <w:rFonts w:ascii="Arial" w:hAnsi="Arial" w:cs="Arial"/>
                <w:sz w:val="18"/>
                <w:szCs w:val="18"/>
              </w:rPr>
              <w:t>Wykonanie testów bezpieczeństwa prowadzonych przez zewnętrzny podmiot - Audytora bezpieczeństwa</w:t>
            </w:r>
          </w:p>
        </w:tc>
      </w:tr>
      <w:tr w:rsidR="00B21115" w:rsidRPr="001B6667" w:rsidTr="009A45DC">
        <w:trPr>
          <w:trHeight w:val="724"/>
        </w:trPr>
        <w:tc>
          <w:tcPr>
            <w:tcW w:w="3261" w:type="dxa"/>
            <w:shd w:val="clear" w:color="auto" w:fill="auto"/>
          </w:tcPr>
          <w:p w:rsidR="00B21115" w:rsidRPr="00CC1125" w:rsidRDefault="00B21115" w:rsidP="00B2111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C1125">
              <w:rPr>
                <w:rFonts w:ascii="Arial" w:hAnsi="Arial" w:cs="Arial"/>
                <w:sz w:val="18"/>
                <w:szCs w:val="18"/>
              </w:rPr>
              <w:t>Brak akceptacji społecznej i zainteresowania użytkowników końcowych wdrożonym rozwiązaniem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</w:tcPr>
          <w:p w:rsidR="00B21115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rednie  </w:t>
            </w:r>
          </w:p>
        </w:tc>
        <w:tc>
          <w:tcPr>
            <w:tcW w:w="2125" w:type="dxa"/>
            <w:shd w:val="clear" w:color="auto" w:fill="FFFFFF"/>
          </w:tcPr>
          <w:p w:rsidR="00B21115" w:rsidRPr="009E6050" w:rsidRDefault="009E6050" w:rsidP="009E60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</w:t>
            </w:r>
            <w:r w:rsidRPr="009E6050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iskie  </w:t>
            </w:r>
          </w:p>
        </w:tc>
        <w:tc>
          <w:tcPr>
            <w:tcW w:w="2552" w:type="dxa"/>
            <w:shd w:val="clear" w:color="auto" w:fill="FFFFFF"/>
          </w:tcPr>
          <w:p w:rsidR="00B21115" w:rsidRPr="004576B6" w:rsidRDefault="00B21115" w:rsidP="00B21115">
            <w:pPr>
              <w:rPr>
                <w:rFonts w:ascii="Arial" w:eastAsia="Times New Roman" w:hAnsi="Arial" w:cs="Arial"/>
                <w:bCs/>
                <w:color w:val="0070C0"/>
                <w:sz w:val="18"/>
                <w:szCs w:val="18"/>
                <w:lang w:eastAsia="pl-PL"/>
              </w:rPr>
            </w:pPr>
            <w:r w:rsidRPr="004576B6">
              <w:rPr>
                <w:rFonts w:ascii="Arial" w:eastAsia="Times New Roman" w:hAnsi="Arial" w:cs="Arial"/>
                <w:sz w:val="18"/>
                <w:szCs w:val="18"/>
              </w:rPr>
              <w:t xml:space="preserve">Bieżący monitoring systemów. Przeprowadzenie pilotażu projektu. </w:t>
            </w:r>
            <w:r w:rsidRPr="004576B6">
              <w:rPr>
                <w:rFonts w:ascii="Arial" w:eastAsia="Times New Roman" w:hAnsi="Arial" w:cs="Arial"/>
                <w:sz w:val="18"/>
                <w:szCs w:val="18"/>
              </w:rPr>
              <w:br/>
            </w:r>
            <w:r w:rsidRPr="004576B6">
              <w:rPr>
                <w:rFonts w:ascii="Arial" w:hAnsi="Arial" w:cs="Arial"/>
                <w:sz w:val="18"/>
                <w:szCs w:val="18"/>
              </w:rPr>
              <w:t xml:space="preserve">Projektowanie prototypów rozwiązania z użytkownikiem końcowym. </w:t>
            </w:r>
            <w:r w:rsidRPr="004576B6">
              <w:rPr>
                <w:rFonts w:ascii="Arial" w:hAnsi="Arial" w:cs="Arial"/>
                <w:sz w:val="18"/>
                <w:szCs w:val="18"/>
              </w:rPr>
              <w:br/>
              <w:t xml:space="preserve">Przeprowadzenie badań użyteczności rozwiązania na prototypach.                                       Wczesne zdefiniowanie odpowiedniego planu kampanii społecznej.                                            Przeprowadzenie kampanii informacyjno-promocyjnej podnoszącej poziom akceptacji społecznej.                                      Udostępnienie materiałów dla użytkownika końcowego.                             Powiązanie procesów projektu z innymi procesami użytkowników końcowych. 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CC1125" w:rsidRPr="00CC1125" w:rsidRDefault="00CC1125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Nie dotyczy.  </w:t>
      </w:r>
    </w:p>
    <w:p w:rsidR="00CC1125" w:rsidRPr="00CC1125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CC1125" w:rsidRPr="00CC1125" w:rsidRDefault="00CC1125" w:rsidP="00CC1125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 xml:space="preserve">Jolanta Wudarczyk-Czapczuk </w:t>
      </w:r>
      <w:bookmarkStart w:id="2" w:name="_Hlk18274129"/>
      <w:r w:rsidRPr="00CC1125">
        <w:rPr>
          <w:rFonts w:ascii="Arial" w:hAnsi="Arial" w:cs="Arial"/>
          <w:sz w:val="18"/>
          <w:szCs w:val="18"/>
        </w:rPr>
        <w:t>– ekspert</w:t>
      </w:r>
      <w:r>
        <w:rPr>
          <w:rFonts w:ascii="Arial" w:hAnsi="Arial" w:cs="Arial"/>
          <w:sz w:val="18"/>
          <w:szCs w:val="18"/>
        </w:rPr>
        <w:t>, Biuro Prezesa;</w:t>
      </w:r>
      <w:bookmarkEnd w:id="2"/>
      <w:r>
        <w:rPr>
          <w:rFonts w:ascii="Arial" w:hAnsi="Arial" w:cs="Arial"/>
          <w:sz w:val="18"/>
          <w:szCs w:val="18"/>
        </w:rPr>
        <w:t xml:space="preserve"> </w:t>
      </w:r>
      <w:hyperlink r:id="rId8" w:history="1">
        <w:r w:rsidRPr="00CC1125">
          <w:rPr>
            <w:rStyle w:val="Hipercze"/>
            <w:rFonts w:ascii="Arial" w:hAnsi="Arial" w:cs="Arial"/>
            <w:color w:val="auto"/>
            <w:sz w:val="18"/>
            <w:szCs w:val="18"/>
            <w:u w:val="none"/>
          </w:rPr>
          <w:t>jolanta.wudarczyk-czapczuk@uke.gov.pl</w:t>
        </w:r>
      </w:hyperlink>
      <w:r w:rsidRPr="00CC1125">
        <w:rPr>
          <w:rFonts w:ascii="Arial" w:hAnsi="Arial" w:cs="Arial"/>
          <w:sz w:val="18"/>
          <w:szCs w:val="18"/>
        </w:rPr>
        <w:t>, t</w:t>
      </w:r>
      <w:r>
        <w:rPr>
          <w:rFonts w:ascii="Arial" w:hAnsi="Arial" w:cs="Arial"/>
          <w:sz w:val="18"/>
          <w:szCs w:val="18"/>
        </w:rPr>
        <w:t xml:space="preserve">el.: 22 534 9460 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Pr="00CC112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Załącznik:</w:t>
      </w:r>
      <w:r w:rsidR="00A92887" w:rsidRPr="00CC1125">
        <w:rPr>
          <w:rFonts w:ascii="Arial" w:hAnsi="Arial" w:cs="Arial"/>
          <w:sz w:val="18"/>
          <w:szCs w:val="18"/>
        </w:rPr>
        <w:t xml:space="preserve"> </w:t>
      </w:r>
    </w:p>
    <w:p w:rsidR="00A92887" w:rsidRPr="00CC112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CC1125">
        <w:rPr>
          <w:rFonts w:ascii="Arial" w:hAnsi="Arial" w:cs="Arial"/>
          <w:sz w:val="18"/>
          <w:szCs w:val="18"/>
        </w:rPr>
        <w:t>Wzór raportu z wymiarowania systemu informatycznego</w:t>
      </w:r>
      <w:r w:rsidR="00CC1125" w:rsidRPr="00CC1125">
        <w:rPr>
          <w:rFonts w:ascii="Arial" w:hAnsi="Arial" w:cs="Arial"/>
          <w:sz w:val="18"/>
          <w:szCs w:val="18"/>
        </w:rPr>
        <w:t xml:space="preserve"> – Nie dotyczy </w:t>
      </w:r>
    </w:p>
    <w:sectPr w:rsidR="00A92887" w:rsidRPr="00CC1125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D9D" w:rsidRDefault="00FA3D9D" w:rsidP="00BB2420">
      <w:pPr>
        <w:spacing w:after="0" w:line="240" w:lineRule="auto"/>
      </w:pPr>
      <w:r>
        <w:separator/>
      </w:r>
    </w:p>
  </w:endnote>
  <w:endnote w:type="continuationSeparator" w:id="0">
    <w:p w:rsidR="00FA3D9D" w:rsidRDefault="00FA3D9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3C6A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D9D" w:rsidRDefault="00FA3D9D" w:rsidP="00BB2420">
      <w:pPr>
        <w:spacing w:after="0" w:line="240" w:lineRule="auto"/>
      </w:pPr>
      <w:r>
        <w:separator/>
      </w:r>
    </w:p>
  </w:footnote>
  <w:footnote w:type="continuationSeparator" w:id="0">
    <w:p w:rsidR="00FA3D9D" w:rsidRDefault="00FA3D9D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:rsidR="000E3210" w:rsidRDefault="000E3210" w:rsidP="000E32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F3C6A">
        <w:rPr>
          <w:rFonts w:cs="Arial"/>
        </w:rPr>
        <w:t>O</w:t>
      </w:r>
      <w:r w:rsidRPr="008F3C6A">
        <w:rPr>
          <w:rFonts w:cs="Arial"/>
        </w:rPr>
        <w:t>kreślenie szczegółowych świadczeń gwarancyjnych i sposobu ich wypełniania nastąpi na etapie</w:t>
      </w:r>
      <w:r w:rsidRPr="008F3C6A">
        <w:rPr>
          <w:rFonts w:cs="Arial"/>
        </w:rPr>
        <w:t xml:space="preserve"> r</w:t>
      </w:r>
      <w:r w:rsidRPr="008F3C6A">
        <w:rPr>
          <w:rFonts w:cs="Arial"/>
        </w:rPr>
        <w:t xml:space="preserve">ozstrzygnięcie postępowania przetargowego </w:t>
      </w:r>
      <w:r w:rsidRPr="008F3C6A">
        <w:rPr>
          <w:rFonts w:cs="Arial"/>
        </w:rPr>
        <w:t xml:space="preserve"> tj. podpisania</w:t>
      </w:r>
      <w:r w:rsidRPr="008F3C6A">
        <w:rPr>
          <w:rFonts w:cs="Arial"/>
        </w:rPr>
        <w:t xml:space="preserve"> Umowy z wybranym Wykonawcą </w:t>
      </w:r>
      <w:r w:rsidRPr="008F3C6A">
        <w:rPr>
          <w:rFonts w:cs="Arial"/>
        </w:rPr>
        <w:t>stąd tożsamość terminów  osiągniecia pierwszego i ostatniego kamienia milowego</w:t>
      </w:r>
      <w:r w:rsidRPr="008F3C6A">
        <w:t>.</w:t>
      </w:r>
      <w:r>
        <w:t xml:space="preserve"> </w:t>
      </w:r>
    </w:p>
    <w:p w:rsidR="000E3210" w:rsidRDefault="000E3210" w:rsidP="000E3210">
      <w:pPr>
        <w:pStyle w:val="Tekstprzypisudolnego"/>
      </w:pPr>
    </w:p>
    <w:p w:rsidR="000E3210" w:rsidRDefault="000E3210">
      <w:pPr>
        <w:pStyle w:val="Tekstprzypisudolnego"/>
      </w:pPr>
      <w:bookmarkStart w:id="1" w:name="_GoBack"/>
      <w:bookmarkEnd w:id="1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A2C06"/>
    <w:multiLevelType w:val="hybridMultilevel"/>
    <w:tmpl w:val="4A808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37B39"/>
    <w:multiLevelType w:val="hybridMultilevel"/>
    <w:tmpl w:val="F58CA8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43438"/>
    <w:multiLevelType w:val="hybridMultilevel"/>
    <w:tmpl w:val="BDB69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5242FD"/>
    <w:multiLevelType w:val="hybridMultilevel"/>
    <w:tmpl w:val="402EB6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E578D9"/>
    <w:multiLevelType w:val="hybridMultilevel"/>
    <w:tmpl w:val="90C68B54"/>
    <w:lvl w:ilvl="0" w:tplc="2D58D9B4">
      <w:start w:val="15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B462647"/>
    <w:multiLevelType w:val="hybridMultilevel"/>
    <w:tmpl w:val="E9C0F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7C0A5ADF"/>
    <w:multiLevelType w:val="hybridMultilevel"/>
    <w:tmpl w:val="B9880916"/>
    <w:lvl w:ilvl="0" w:tplc="1EFAA64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12"/>
  </w:num>
  <w:num w:numId="5">
    <w:abstractNumId w:val="22"/>
  </w:num>
  <w:num w:numId="6">
    <w:abstractNumId w:val="5"/>
  </w:num>
  <w:num w:numId="7">
    <w:abstractNumId w:val="17"/>
  </w:num>
  <w:num w:numId="8">
    <w:abstractNumId w:val="0"/>
  </w:num>
  <w:num w:numId="9">
    <w:abstractNumId w:val="9"/>
  </w:num>
  <w:num w:numId="10">
    <w:abstractNumId w:val="7"/>
  </w:num>
  <w:num w:numId="11">
    <w:abstractNumId w:val="8"/>
  </w:num>
  <w:num w:numId="12">
    <w:abstractNumId w:val="19"/>
  </w:num>
  <w:num w:numId="13">
    <w:abstractNumId w:val="16"/>
  </w:num>
  <w:num w:numId="14">
    <w:abstractNumId w:val="2"/>
  </w:num>
  <w:num w:numId="15">
    <w:abstractNumId w:val="23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4"/>
  </w:num>
  <w:num w:numId="21">
    <w:abstractNumId w:val="18"/>
  </w:num>
  <w:num w:numId="22">
    <w:abstractNumId w:val="6"/>
  </w:num>
  <w:num w:numId="23">
    <w:abstractNumId w:val="21"/>
  </w:num>
  <w:num w:numId="24">
    <w:abstractNumId w:val="1"/>
  </w:num>
  <w:num w:numId="25">
    <w:abstractNumId w:val="3"/>
  </w:num>
  <w:num w:numId="26">
    <w:abstractNumId w:val="20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25BA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3210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7D0"/>
    <w:rsid w:val="00176FBB"/>
    <w:rsid w:val="00181E97"/>
    <w:rsid w:val="00182A08"/>
    <w:rsid w:val="001A2EF2"/>
    <w:rsid w:val="001C2D74"/>
    <w:rsid w:val="001C7FAC"/>
    <w:rsid w:val="001D1061"/>
    <w:rsid w:val="001D167C"/>
    <w:rsid w:val="001E0CAC"/>
    <w:rsid w:val="001E16A3"/>
    <w:rsid w:val="001E1DEA"/>
    <w:rsid w:val="001E7199"/>
    <w:rsid w:val="001F24A0"/>
    <w:rsid w:val="001F67EC"/>
    <w:rsid w:val="0020330A"/>
    <w:rsid w:val="00222D87"/>
    <w:rsid w:val="00237279"/>
    <w:rsid w:val="00240D69"/>
    <w:rsid w:val="00241B5E"/>
    <w:rsid w:val="00252087"/>
    <w:rsid w:val="002553C6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673F"/>
    <w:rsid w:val="00392919"/>
    <w:rsid w:val="003A4115"/>
    <w:rsid w:val="003B5B7A"/>
    <w:rsid w:val="003C7325"/>
    <w:rsid w:val="003D7DD0"/>
    <w:rsid w:val="003E3144"/>
    <w:rsid w:val="003F3EE8"/>
    <w:rsid w:val="00405EA4"/>
    <w:rsid w:val="0041034F"/>
    <w:rsid w:val="004118A3"/>
    <w:rsid w:val="00423A26"/>
    <w:rsid w:val="00425046"/>
    <w:rsid w:val="004350B8"/>
    <w:rsid w:val="00444AAB"/>
    <w:rsid w:val="00450089"/>
    <w:rsid w:val="004576B6"/>
    <w:rsid w:val="004729D1"/>
    <w:rsid w:val="004B7397"/>
    <w:rsid w:val="004C1D48"/>
    <w:rsid w:val="004D65CA"/>
    <w:rsid w:val="004F6E89"/>
    <w:rsid w:val="0050316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06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07DA4"/>
    <w:rsid w:val="0062054D"/>
    <w:rsid w:val="006334BF"/>
    <w:rsid w:val="00635A54"/>
    <w:rsid w:val="00655B62"/>
    <w:rsid w:val="00661A62"/>
    <w:rsid w:val="00663A0C"/>
    <w:rsid w:val="00665405"/>
    <w:rsid w:val="006731D9"/>
    <w:rsid w:val="006822BC"/>
    <w:rsid w:val="00683DE2"/>
    <w:rsid w:val="006907FD"/>
    <w:rsid w:val="006948D3"/>
    <w:rsid w:val="006A60AA"/>
    <w:rsid w:val="006B034F"/>
    <w:rsid w:val="006B5117"/>
    <w:rsid w:val="006C78AE"/>
    <w:rsid w:val="006E0CFA"/>
    <w:rsid w:val="006E51C1"/>
    <w:rsid w:val="006E6205"/>
    <w:rsid w:val="00701800"/>
    <w:rsid w:val="0070337E"/>
    <w:rsid w:val="00725708"/>
    <w:rsid w:val="00740A47"/>
    <w:rsid w:val="00746ABD"/>
    <w:rsid w:val="007705B7"/>
    <w:rsid w:val="0077418F"/>
    <w:rsid w:val="00775C44"/>
    <w:rsid w:val="00776802"/>
    <w:rsid w:val="0078594B"/>
    <w:rsid w:val="007924CE"/>
    <w:rsid w:val="00795AFA"/>
    <w:rsid w:val="007A4742"/>
    <w:rsid w:val="007A6819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43433"/>
    <w:rsid w:val="00845656"/>
    <w:rsid w:val="0086257D"/>
    <w:rsid w:val="0087452F"/>
    <w:rsid w:val="00875528"/>
    <w:rsid w:val="00884686"/>
    <w:rsid w:val="008A016F"/>
    <w:rsid w:val="008A332F"/>
    <w:rsid w:val="008A52F6"/>
    <w:rsid w:val="008C4BCD"/>
    <w:rsid w:val="008C6721"/>
    <w:rsid w:val="008D3826"/>
    <w:rsid w:val="008E3981"/>
    <w:rsid w:val="008F026F"/>
    <w:rsid w:val="008F2D9B"/>
    <w:rsid w:val="008F3C6A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04BA"/>
    <w:rsid w:val="009663A6"/>
    <w:rsid w:val="00971A40"/>
    <w:rsid w:val="009751B3"/>
    <w:rsid w:val="00976434"/>
    <w:rsid w:val="00992EA3"/>
    <w:rsid w:val="009967CA"/>
    <w:rsid w:val="009A17FF"/>
    <w:rsid w:val="009A45DC"/>
    <w:rsid w:val="009B4423"/>
    <w:rsid w:val="009C47BF"/>
    <w:rsid w:val="009C6140"/>
    <w:rsid w:val="009D2A79"/>
    <w:rsid w:val="009D2FA4"/>
    <w:rsid w:val="009D7D8A"/>
    <w:rsid w:val="009E4C67"/>
    <w:rsid w:val="009E6050"/>
    <w:rsid w:val="009F09BF"/>
    <w:rsid w:val="009F1DC8"/>
    <w:rsid w:val="009F437E"/>
    <w:rsid w:val="00A014C9"/>
    <w:rsid w:val="00A11788"/>
    <w:rsid w:val="00A263AA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D6573"/>
    <w:rsid w:val="00AE1643"/>
    <w:rsid w:val="00AE3A6C"/>
    <w:rsid w:val="00AF09B8"/>
    <w:rsid w:val="00AF567D"/>
    <w:rsid w:val="00B17709"/>
    <w:rsid w:val="00B21115"/>
    <w:rsid w:val="00B21490"/>
    <w:rsid w:val="00B23828"/>
    <w:rsid w:val="00B27EE9"/>
    <w:rsid w:val="00B3214B"/>
    <w:rsid w:val="00B41415"/>
    <w:rsid w:val="00B440C3"/>
    <w:rsid w:val="00B46B7D"/>
    <w:rsid w:val="00B50560"/>
    <w:rsid w:val="00B5532F"/>
    <w:rsid w:val="00B57F9D"/>
    <w:rsid w:val="00B64B3C"/>
    <w:rsid w:val="00B673C6"/>
    <w:rsid w:val="00B74859"/>
    <w:rsid w:val="00B819B5"/>
    <w:rsid w:val="00B87D3D"/>
    <w:rsid w:val="00B91243"/>
    <w:rsid w:val="00BA481C"/>
    <w:rsid w:val="00BB059E"/>
    <w:rsid w:val="00BB18FD"/>
    <w:rsid w:val="00BB1F17"/>
    <w:rsid w:val="00BB2420"/>
    <w:rsid w:val="00BB49AC"/>
    <w:rsid w:val="00BB5ACE"/>
    <w:rsid w:val="00BC1BD2"/>
    <w:rsid w:val="00BC6BE4"/>
    <w:rsid w:val="00BD7931"/>
    <w:rsid w:val="00BE39DD"/>
    <w:rsid w:val="00BE47CD"/>
    <w:rsid w:val="00BE5BF9"/>
    <w:rsid w:val="00C1106C"/>
    <w:rsid w:val="00C26361"/>
    <w:rsid w:val="00C302F1"/>
    <w:rsid w:val="00C3575F"/>
    <w:rsid w:val="00C42AEA"/>
    <w:rsid w:val="00C43191"/>
    <w:rsid w:val="00C46622"/>
    <w:rsid w:val="00C57985"/>
    <w:rsid w:val="00C6751B"/>
    <w:rsid w:val="00CA516B"/>
    <w:rsid w:val="00CC1125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2AE8"/>
    <w:rsid w:val="00D77F50"/>
    <w:rsid w:val="00D859F4"/>
    <w:rsid w:val="00D85A52"/>
    <w:rsid w:val="00D86FEC"/>
    <w:rsid w:val="00D977D6"/>
    <w:rsid w:val="00DA34DF"/>
    <w:rsid w:val="00DB69FD"/>
    <w:rsid w:val="00DC0A8A"/>
    <w:rsid w:val="00DC122E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862C7"/>
    <w:rsid w:val="00EA0B4F"/>
    <w:rsid w:val="00EA30AC"/>
    <w:rsid w:val="00EB00AB"/>
    <w:rsid w:val="00EC2AFC"/>
    <w:rsid w:val="00EE6DBD"/>
    <w:rsid w:val="00EF64D3"/>
    <w:rsid w:val="00F138F7"/>
    <w:rsid w:val="00F2008A"/>
    <w:rsid w:val="00F21D9E"/>
    <w:rsid w:val="00F25348"/>
    <w:rsid w:val="00F45506"/>
    <w:rsid w:val="00F60062"/>
    <w:rsid w:val="00F613CC"/>
    <w:rsid w:val="00F761FF"/>
    <w:rsid w:val="00F76777"/>
    <w:rsid w:val="00F83F2F"/>
    <w:rsid w:val="00F86555"/>
    <w:rsid w:val="00F86C58"/>
    <w:rsid w:val="00FA3D9D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A68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CW_Lista,Akapit z listą BS,Kolorowa lista — akcent 11,Dot pt,F5 List Paragraph,Recommendation,List Paragraph11,Use Case List Paragraph,Heading2,Body Bullet,Akapit z listą5,List Paragra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Normalny PDST Znak,lp1 Znak,Preambuła Znak,HŁ_Bullet1 Znak,CW_Lista Znak,Akapit z listą BS Znak,Kolorowa lista — akcent 11 Znak,Dot pt Znak,F5 List Paragraph Znak,Recommendation Znak,List Paragraph11 Znak"/>
    <w:link w:val="Akapitzlist"/>
    <w:uiPriority w:val="34"/>
    <w:qFormat/>
    <w:locked/>
    <w:rsid w:val="00683DE2"/>
  </w:style>
  <w:style w:type="character" w:styleId="Hipercze">
    <w:name w:val="Hyperlink"/>
    <w:basedOn w:val="Domylnaczcionkaakapitu"/>
    <w:uiPriority w:val="99"/>
    <w:unhideWhenUsed/>
    <w:rsid w:val="00CC11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1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lanta.wudarczyk-czapczuk@uke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474BD-588E-499F-A6FE-E203F8486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2062</Words>
  <Characters>12376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2022-04-13T11:22:00Z</dcterms:created>
  <dcterms:modified xsi:type="dcterms:W3CDTF">2022-04-13T11:22:00Z</dcterms:modified>
</cp:coreProperties>
</file>